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78B9" w:rsidRPr="009E402B" w:rsidRDefault="000A77E4">
      <w:pPr>
        <w:rPr>
          <w:rFonts w:cs="Times New Roman"/>
          <w:b/>
          <w:sz w:val="24"/>
          <w:szCs w:val="24"/>
        </w:rPr>
      </w:pPr>
      <w:r w:rsidRPr="009E402B">
        <w:rPr>
          <w:rFonts w:cs="Times New Roman"/>
          <w:b/>
          <w:sz w:val="24"/>
          <w:szCs w:val="24"/>
        </w:rPr>
        <w:t>Badanie FRAX</w:t>
      </w:r>
    </w:p>
    <w:p w:rsidR="000A77E4" w:rsidRPr="00DD1DE8" w:rsidRDefault="000A77E4" w:rsidP="000A77E4">
      <w:pPr>
        <w:jc w:val="both"/>
        <w:rPr>
          <w:rFonts w:cs="Arial"/>
          <w:sz w:val="24"/>
          <w:szCs w:val="24"/>
        </w:rPr>
      </w:pPr>
      <w:r>
        <w:rPr>
          <w:sz w:val="24"/>
          <w:szCs w:val="24"/>
        </w:rPr>
        <w:t xml:space="preserve">Zespół </w:t>
      </w:r>
      <w:r w:rsidRPr="003D4FA0">
        <w:rPr>
          <w:sz w:val="24"/>
          <w:szCs w:val="24"/>
        </w:rPr>
        <w:t>łamliwego chromosomu X (</w:t>
      </w:r>
      <w:r w:rsidRPr="003D4FA0">
        <w:rPr>
          <w:rFonts w:cs="Arial"/>
          <w:sz w:val="24"/>
          <w:szCs w:val="24"/>
        </w:rPr>
        <w:t xml:space="preserve">ang. </w:t>
      </w:r>
      <w:proofErr w:type="spellStart"/>
      <w:r w:rsidRPr="003D4FA0">
        <w:rPr>
          <w:rFonts w:cs="Arial"/>
          <w:i/>
          <w:sz w:val="24"/>
          <w:szCs w:val="24"/>
        </w:rPr>
        <w:t>Fragile</w:t>
      </w:r>
      <w:proofErr w:type="spellEnd"/>
      <w:r w:rsidRPr="003D4FA0">
        <w:rPr>
          <w:rFonts w:cs="Arial"/>
          <w:i/>
          <w:sz w:val="24"/>
          <w:szCs w:val="24"/>
        </w:rPr>
        <w:t xml:space="preserve"> X </w:t>
      </w:r>
      <w:proofErr w:type="spellStart"/>
      <w:r w:rsidRPr="003D4FA0">
        <w:rPr>
          <w:rFonts w:cs="Arial"/>
          <w:i/>
          <w:sz w:val="24"/>
          <w:szCs w:val="24"/>
        </w:rPr>
        <w:t>Syndrome</w:t>
      </w:r>
      <w:proofErr w:type="spellEnd"/>
      <w:r w:rsidRPr="003D4FA0">
        <w:rPr>
          <w:rFonts w:cs="Arial"/>
          <w:sz w:val="24"/>
          <w:szCs w:val="24"/>
        </w:rPr>
        <w:t>, FXS)</w:t>
      </w:r>
      <w:r w:rsidRPr="003D4FA0">
        <w:rPr>
          <w:sz w:val="24"/>
          <w:szCs w:val="24"/>
        </w:rPr>
        <w:t xml:space="preserve"> to jedna z najczęstszych przyczyn występowania niepełnosprawności intelektualnej oraz jedna z głównych </w:t>
      </w:r>
      <w:proofErr w:type="spellStart"/>
      <w:r w:rsidRPr="003D4FA0">
        <w:rPr>
          <w:sz w:val="24"/>
          <w:szCs w:val="24"/>
        </w:rPr>
        <w:t>jednogenowych</w:t>
      </w:r>
      <w:proofErr w:type="spellEnd"/>
      <w:r w:rsidRPr="003D4FA0">
        <w:rPr>
          <w:sz w:val="24"/>
          <w:szCs w:val="24"/>
        </w:rPr>
        <w:t xml:space="preserve"> przyczyn autyzmu. Przyjmuje się, że dotyka średnio 1 na 4000 chłopców i 1 na 8000 dziewczynek.</w:t>
      </w:r>
      <w:r>
        <w:rPr>
          <w:sz w:val="26"/>
          <w:szCs w:val="26"/>
        </w:rPr>
        <w:t xml:space="preserve"> </w:t>
      </w:r>
      <w:r w:rsidRPr="00DD1DE8">
        <w:rPr>
          <w:rFonts w:cs="Arial"/>
          <w:sz w:val="24"/>
          <w:szCs w:val="24"/>
        </w:rPr>
        <w:t xml:space="preserve">Za ponad 99 % przypadków FRX odpowiada mutacja dynamiczna genu </w:t>
      </w:r>
      <w:r w:rsidRPr="00DD1DE8">
        <w:rPr>
          <w:rFonts w:cs="Arial"/>
          <w:i/>
          <w:sz w:val="24"/>
          <w:szCs w:val="24"/>
        </w:rPr>
        <w:t>FMR1</w:t>
      </w:r>
      <w:r w:rsidRPr="00DD1DE8">
        <w:rPr>
          <w:rFonts w:cs="Arial"/>
          <w:sz w:val="24"/>
          <w:szCs w:val="24"/>
        </w:rPr>
        <w:t xml:space="preserve"> związana ze zwielokrotnieniem liczby powtórzeń trójnukleotydowych CGG w niepodlegającemu translacji regionie 5’. W zależności od liczby powtórzeń CGG wyróżnia się:</w:t>
      </w:r>
    </w:p>
    <w:p w:rsidR="000A77E4" w:rsidRPr="00DD1DE8" w:rsidRDefault="000A77E4" w:rsidP="000A77E4">
      <w:pPr>
        <w:pStyle w:val="Akapitzlist"/>
        <w:numPr>
          <w:ilvl w:val="0"/>
          <w:numId w:val="1"/>
        </w:numPr>
        <w:jc w:val="both"/>
        <w:rPr>
          <w:rFonts w:cs="Arial"/>
          <w:sz w:val="24"/>
          <w:szCs w:val="24"/>
        </w:rPr>
      </w:pPr>
      <w:r w:rsidRPr="00DD1DE8">
        <w:rPr>
          <w:rFonts w:cs="Arial"/>
          <w:sz w:val="24"/>
          <w:szCs w:val="24"/>
        </w:rPr>
        <w:t>allele prawidłowe (5-54 powtórzeń CGG)</w:t>
      </w:r>
    </w:p>
    <w:p w:rsidR="000A77E4" w:rsidRPr="00DD1DE8" w:rsidRDefault="000A77E4" w:rsidP="000A77E4">
      <w:pPr>
        <w:pStyle w:val="Akapitzlist"/>
        <w:numPr>
          <w:ilvl w:val="0"/>
          <w:numId w:val="1"/>
        </w:numPr>
        <w:jc w:val="both"/>
        <w:rPr>
          <w:rFonts w:cs="Arial"/>
          <w:sz w:val="24"/>
          <w:szCs w:val="24"/>
        </w:rPr>
      </w:pPr>
      <w:proofErr w:type="spellStart"/>
      <w:r>
        <w:rPr>
          <w:rFonts w:cs="Arial"/>
          <w:sz w:val="24"/>
          <w:szCs w:val="24"/>
        </w:rPr>
        <w:t>p</w:t>
      </w:r>
      <w:r w:rsidRPr="00DD1DE8">
        <w:rPr>
          <w:rFonts w:cs="Arial"/>
          <w:sz w:val="24"/>
          <w:szCs w:val="24"/>
        </w:rPr>
        <w:t>r</w:t>
      </w:r>
      <w:r>
        <w:rPr>
          <w:rFonts w:cs="Arial"/>
          <w:sz w:val="24"/>
          <w:szCs w:val="24"/>
        </w:rPr>
        <w:t>e</w:t>
      </w:r>
      <w:r w:rsidRPr="00DD1DE8">
        <w:rPr>
          <w:rFonts w:cs="Arial"/>
          <w:sz w:val="24"/>
          <w:szCs w:val="24"/>
        </w:rPr>
        <w:t>mutacje</w:t>
      </w:r>
      <w:proofErr w:type="spellEnd"/>
      <w:r w:rsidRPr="00DD1DE8">
        <w:rPr>
          <w:rFonts w:cs="Arial"/>
          <w:sz w:val="24"/>
          <w:szCs w:val="24"/>
        </w:rPr>
        <w:t xml:space="preserve"> 55-200 (powtórzeń CGG)</w:t>
      </w:r>
    </w:p>
    <w:p w:rsidR="000A77E4" w:rsidRDefault="000A77E4" w:rsidP="000A77E4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DD1DE8">
        <w:rPr>
          <w:rFonts w:cs="Arial"/>
          <w:sz w:val="24"/>
          <w:szCs w:val="24"/>
        </w:rPr>
        <w:t>pełne mutacje (&gt;200 powtórzeń CGG)</w:t>
      </w:r>
      <w:r w:rsidRPr="00DD1DE8">
        <w:rPr>
          <w:rFonts w:ascii="Arial" w:hAnsi="Arial" w:cs="Arial"/>
          <w:sz w:val="28"/>
          <w:szCs w:val="28"/>
        </w:rPr>
        <w:t xml:space="preserve"> </w:t>
      </w:r>
    </w:p>
    <w:p w:rsidR="000A77E4" w:rsidRPr="003D4FA0" w:rsidRDefault="000A77E4" w:rsidP="000A77E4">
      <w:pPr>
        <w:pStyle w:val="Akapitzlist"/>
        <w:jc w:val="both"/>
        <w:rPr>
          <w:rFonts w:ascii="Arial" w:hAnsi="Arial" w:cs="Arial"/>
          <w:sz w:val="28"/>
          <w:szCs w:val="28"/>
        </w:rPr>
      </w:pPr>
    </w:p>
    <w:p w:rsidR="000A77E4" w:rsidRDefault="000A77E4" w:rsidP="000A77E4">
      <w:pPr>
        <w:pStyle w:val="Akapitzlist"/>
        <w:ind w:left="0"/>
        <w:jc w:val="both"/>
        <w:rPr>
          <w:rFonts w:cs="Arial"/>
          <w:sz w:val="24"/>
          <w:szCs w:val="24"/>
        </w:rPr>
      </w:pPr>
      <w:r w:rsidRPr="005B1EBF">
        <w:rPr>
          <w:rFonts w:cs="Arial"/>
          <w:sz w:val="24"/>
          <w:szCs w:val="24"/>
        </w:rPr>
        <w:t xml:space="preserve">Obecność </w:t>
      </w:r>
      <w:proofErr w:type="spellStart"/>
      <w:r w:rsidRPr="005B1EBF">
        <w:rPr>
          <w:rFonts w:cs="Arial"/>
          <w:sz w:val="24"/>
          <w:szCs w:val="24"/>
        </w:rPr>
        <w:t>premutacji</w:t>
      </w:r>
      <w:proofErr w:type="spellEnd"/>
      <w:r w:rsidRPr="005B1EBF">
        <w:rPr>
          <w:rFonts w:cs="Arial"/>
          <w:sz w:val="24"/>
          <w:szCs w:val="24"/>
        </w:rPr>
        <w:t xml:space="preserve"> zwiększa prawdopodobieństwo wystąpienia chorób zależnych od genu </w:t>
      </w:r>
      <w:r w:rsidRPr="000A77E4">
        <w:rPr>
          <w:rFonts w:cs="Arial"/>
          <w:i/>
          <w:sz w:val="24"/>
          <w:szCs w:val="24"/>
        </w:rPr>
        <w:t>FMR1</w:t>
      </w:r>
      <w:r w:rsidRPr="005B1EBF">
        <w:rPr>
          <w:rFonts w:cs="Arial"/>
          <w:sz w:val="24"/>
          <w:szCs w:val="24"/>
        </w:rPr>
        <w:t>, zespołu drżenia i ataksji związanego z zespołem łamliwego chromosomu X</w:t>
      </w:r>
      <w:r>
        <w:rPr>
          <w:rFonts w:cs="Arial"/>
          <w:sz w:val="24"/>
          <w:szCs w:val="24"/>
        </w:rPr>
        <w:t xml:space="preserve"> </w:t>
      </w:r>
      <w:r w:rsidRPr="005B1EBF">
        <w:rPr>
          <w:rFonts w:cs="Arial"/>
          <w:sz w:val="24"/>
          <w:szCs w:val="24"/>
        </w:rPr>
        <w:t>(FXTAS) oraz przedwczesnego wygaśnięcia czynności jajników związanego z zespołem łamliwego chromosomu X (FXPOI)</w:t>
      </w:r>
      <w:r>
        <w:rPr>
          <w:rFonts w:cs="Arial"/>
          <w:sz w:val="24"/>
          <w:szCs w:val="24"/>
        </w:rPr>
        <w:t>.</w:t>
      </w:r>
    </w:p>
    <w:p w:rsidR="009E402B" w:rsidRDefault="009E402B" w:rsidP="000A77E4">
      <w:pPr>
        <w:pStyle w:val="Akapitzlist"/>
        <w:ind w:left="0"/>
        <w:jc w:val="both"/>
        <w:rPr>
          <w:rFonts w:cs="Arial"/>
          <w:sz w:val="24"/>
          <w:szCs w:val="24"/>
        </w:rPr>
      </w:pPr>
    </w:p>
    <w:p w:rsidR="000A77E4" w:rsidRDefault="000A77E4" w:rsidP="000A77E4">
      <w:pPr>
        <w:rPr>
          <w:b/>
          <w:sz w:val="24"/>
          <w:szCs w:val="24"/>
        </w:rPr>
      </w:pPr>
      <w:r w:rsidRPr="006E7D5E">
        <w:rPr>
          <w:b/>
          <w:sz w:val="24"/>
          <w:szCs w:val="24"/>
        </w:rPr>
        <w:t xml:space="preserve">Test przesiewowy </w:t>
      </w:r>
      <w:proofErr w:type="spellStart"/>
      <w:r w:rsidRPr="006E7D5E">
        <w:rPr>
          <w:b/>
          <w:sz w:val="24"/>
          <w:szCs w:val="24"/>
        </w:rPr>
        <w:t>FraX-A-PCR</w:t>
      </w:r>
      <w:proofErr w:type="spellEnd"/>
    </w:p>
    <w:p w:rsidR="000A77E4" w:rsidRPr="00762EDE" w:rsidRDefault="000A77E4" w:rsidP="000A77E4">
      <w:pPr>
        <w:pStyle w:val="Akapitzlist"/>
        <w:ind w:left="0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Badanie przesiewowe </w:t>
      </w:r>
      <w:proofErr w:type="spellStart"/>
      <w:r>
        <w:rPr>
          <w:rFonts w:cs="Arial"/>
          <w:sz w:val="24"/>
          <w:szCs w:val="24"/>
        </w:rPr>
        <w:t>FraX-A-PCR</w:t>
      </w:r>
      <w:proofErr w:type="spellEnd"/>
      <w:r>
        <w:rPr>
          <w:rFonts w:cs="Arial"/>
          <w:sz w:val="24"/>
          <w:szCs w:val="24"/>
        </w:rPr>
        <w:t xml:space="preserve"> opiera się na metodzie PCR. Namnożony podczas reakcji PCR fragment DNA obejmujący powtórzenia CGG w niekodującym regionie 5’ genu </w:t>
      </w:r>
      <w:r w:rsidRPr="003D4FA0">
        <w:rPr>
          <w:rFonts w:cs="Arial"/>
          <w:i/>
          <w:sz w:val="24"/>
          <w:szCs w:val="24"/>
        </w:rPr>
        <w:t xml:space="preserve">FMR1 </w:t>
      </w:r>
      <w:r w:rsidRPr="00762EDE">
        <w:rPr>
          <w:rFonts w:cs="Arial"/>
          <w:sz w:val="24"/>
          <w:szCs w:val="24"/>
        </w:rPr>
        <w:t xml:space="preserve">rozdziela się na żelu </w:t>
      </w:r>
      <w:proofErr w:type="spellStart"/>
      <w:r w:rsidRPr="00762EDE">
        <w:rPr>
          <w:rFonts w:cs="Arial"/>
          <w:sz w:val="24"/>
          <w:szCs w:val="24"/>
        </w:rPr>
        <w:t>agarozowym</w:t>
      </w:r>
      <w:proofErr w:type="spellEnd"/>
      <w:r w:rsidRPr="00762EDE">
        <w:rPr>
          <w:rFonts w:cs="Arial"/>
          <w:sz w:val="24"/>
          <w:szCs w:val="24"/>
        </w:rPr>
        <w:t>. Rozdział na żelu umożliwia wstępną ocenę alleli</w:t>
      </w:r>
      <w:r>
        <w:rPr>
          <w:rFonts w:cs="Arial"/>
          <w:sz w:val="24"/>
          <w:szCs w:val="24"/>
        </w:rPr>
        <w:t>.</w:t>
      </w:r>
    </w:p>
    <w:p w:rsidR="000A77E4" w:rsidRPr="00762EDE" w:rsidRDefault="000A77E4" w:rsidP="000A77E4">
      <w:pPr>
        <w:jc w:val="both"/>
        <w:rPr>
          <w:rFonts w:cs="Arial"/>
          <w:sz w:val="24"/>
          <w:szCs w:val="24"/>
        </w:rPr>
      </w:pPr>
      <w:r w:rsidRPr="00762EDE">
        <w:rPr>
          <w:rFonts w:cs="Arial"/>
          <w:sz w:val="24"/>
          <w:szCs w:val="24"/>
        </w:rPr>
        <w:t xml:space="preserve">Kobiety należy kierować na test </w:t>
      </w:r>
      <w:proofErr w:type="spellStart"/>
      <w:r w:rsidRPr="00762EDE">
        <w:rPr>
          <w:sz w:val="24"/>
          <w:szCs w:val="24"/>
        </w:rPr>
        <w:t>FraX-C-PCR</w:t>
      </w:r>
      <w:proofErr w:type="spellEnd"/>
      <w:r w:rsidRPr="00762EDE">
        <w:rPr>
          <w:sz w:val="24"/>
          <w:szCs w:val="24"/>
        </w:rPr>
        <w:t xml:space="preserve"> ilościowy</w:t>
      </w:r>
      <w:r w:rsidRPr="00762EDE">
        <w:rPr>
          <w:rFonts w:cs="Arial"/>
          <w:sz w:val="24"/>
          <w:szCs w:val="24"/>
        </w:rPr>
        <w:t xml:space="preserve"> w celu rozróżnienia alleli z dokładnością do jednego powtórzenia CGG. Do wykonania badania w Pracowni Cytogenetyki i Hodowli Tkanek niezbędne jest poprawne wypełnienie Karty Zlecenia Badania Cytogenetycznego oraz dołączenie Deklaracji Świadomej Zgody Pacjenta na Badanie Genetyczne. Wykonanie testu przesiewowego może trwać  do 6 tygodni. </w:t>
      </w:r>
    </w:p>
    <w:p w:rsidR="000A77E4" w:rsidRPr="00C96491" w:rsidRDefault="000A77E4" w:rsidP="000A77E4">
      <w:pPr>
        <w:spacing w:line="240" w:lineRule="auto"/>
        <w:rPr>
          <w:rFonts w:cs="Arial"/>
          <w:sz w:val="24"/>
          <w:szCs w:val="24"/>
        </w:rPr>
      </w:pPr>
      <w:r w:rsidRPr="00A47F4C">
        <w:rPr>
          <w:rFonts w:cs="Arial"/>
          <w:b/>
          <w:sz w:val="24"/>
          <w:szCs w:val="24"/>
        </w:rPr>
        <w:t>Dodatkowe informacje pod numerem:</w:t>
      </w:r>
      <w:r w:rsidRPr="00C96491">
        <w:rPr>
          <w:rFonts w:cs="Arial"/>
          <w:sz w:val="24"/>
          <w:szCs w:val="24"/>
        </w:rPr>
        <w:t xml:space="preserve"> 22 815 74 56</w:t>
      </w:r>
    </w:p>
    <w:p w:rsidR="000A77E4" w:rsidRPr="00A47F4C" w:rsidRDefault="000A77E4" w:rsidP="000A77E4">
      <w:pPr>
        <w:rPr>
          <w:rFonts w:cs="Arial"/>
          <w:b/>
          <w:sz w:val="24"/>
        </w:rPr>
      </w:pPr>
      <w:r w:rsidRPr="00A47F4C">
        <w:rPr>
          <w:rFonts w:cs="Arial"/>
          <w:b/>
          <w:sz w:val="24"/>
        </w:rPr>
        <w:t xml:space="preserve">Materiał: </w:t>
      </w:r>
    </w:p>
    <w:p w:rsidR="000A77E4" w:rsidRPr="00A47F4C" w:rsidRDefault="000A77E4" w:rsidP="000A77E4">
      <w:pPr>
        <w:pStyle w:val="Akapitzlist"/>
        <w:numPr>
          <w:ilvl w:val="0"/>
          <w:numId w:val="2"/>
        </w:numPr>
        <w:rPr>
          <w:rFonts w:cs="Arial"/>
          <w:sz w:val="24"/>
        </w:rPr>
      </w:pPr>
      <w:r w:rsidRPr="00A47F4C">
        <w:rPr>
          <w:rFonts w:cs="Arial"/>
          <w:sz w:val="24"/>
        </w:rPr>
        <w:t>krew obwodowa pobrana na EDTA + zlecenie na izolację DNA do Pracowni Genetyki Molekularnej</w:t>
      </w:r>
    </w:p>
    <w:p w:rsidR="000A77E4" w:rsidRPr="00A47F4C" w:rsidRDefault="000A77E4" w:rsidP="000A77E4">
      <w:pPr>
        <w:pStyle w:val="Akapitzlist"/>
        <w:numPr>
          <w:ilvl w:val="0"/>
          <w:numId w:val="2"/>
        </w:numPr>
        <w:rPr>
          <w:rFonts w:cs="Arial"/>
          <w:sz w:val="24"/>
        </w:rPr>
      </w:pPr>
      <w:r w:rsidRPr="00A47F4C">
        <w:rPr>
          <w:rFonts w:cs="Arial"/>
          <w:sz w:val="24"/>
        </w:rPr>
        <w:t>wyizolowane DNA</w:t>
      </w:r>
    </w:p>
    <w:p w:rsidR="000A77E4" w:rsidRDefault="000A77E4" w:rsidP="000A77E4">
      <w:pPr>
        <w:rPr>
          <w:rFonts w:cs="Arial"/>
          <w:sz w:val="24"/>
          <w:szCs w:val="24"/>
        </w:rPr>
      </w:pPr>
      <w:r w:rsidRPr="00762EDE">
        <w:rPr>
          <w:rFonts w:cs="Arial"/>
          <w:sz w:val="24"/>
          <w:szCs w:val="24"/>
        </w:rPr>
        <w:br/>
      </w:r>
      <w:r w:rsidRPr="00A47F4C">
        <w:rPr>
          <w:rFonts w:cs="Arial"/>
          <w:b/>
          <w:sz w:val="24"/>
          <w:szCs w:val="24"/>
        </w:rPr>
        <w:t>Czas oczekiwania:</w:t>
      </w:r>
      <w:r w:rsidRPr="00762EDE">
        <w:rPr>
          <w:rFonts w:cs="Arial"/>
          <w:sz w:val="24"/>
          <w:szCs w:val="24"/>
        </w:rPr>
        <w:t xml:space="preserve"> do 6 tyg.</w:t>
      </w:r>
    </w:p>
    <w:p w:rsidR="009E402B" w:rsidRDefault="009E402B" w:rsidP="000A77E4">
      <w:pPr>
        <w:rPr>
          <w:rFonts w:cs="Arial"/>
          <w:sz w:val="24"/>
          <w:szCs w:val="24"/>
        </w:rPr>
      </w:pPr>
    </w:p>
    <w:p w:rsidR="009E402B" w:rsidRDefault="009E402B" w:rsidP="000A77E4">
      <w:pPr>
        <w:rPr>
          <w:rFonts w:cs="Arial"/>
          <w:sz w:val="24"/>
          <w:szCs w:val="24"/>
        </w:rPr>
      </w:pPr>
    </w:p>
    <w:p w:rsidR="000A77E4" w:rsidRDefault="000A77E4" w:rsidP="000A77E4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Badanie </w:t>
      </w:r>
      <w:proofErr w:type="spellStart"/>
      <w:r w:rsidRPr="00457062">
        <w:rPr>
          <w:b/>
          <w:sz w:val="24"/>
          <w:szCs w:val="24"/>
        </w:rPr>
        <w:t>FraX-C-PCR</w:t>
      </w:r>
      <w:proofErr w:type="spellEnd"/>
      <w:r w:rsidRPr="00457062">
        <w:rPr>
          <w:b/>
          <w:sz w:val="24"/>
          <w:szCs w:val="24"/>
        </w:rPr>
        <w:t xml:space="preserve"> ilościowy</w:t>
      </w:r>
    </w:p>
    <w:p w:rsidR="000A77E4" w:rsidRPr="00C95954" w:rsidRDefault="000A77E4" w:rsidP="000A77E4">
      <w:pPr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Badanie </w:t>
      </w:r>
      <w:proofErr w:type="spellStart"/>
      <w:r w:rsidRPr="00457062">
        <w:rPr>
          <w:sz w:val="24"/>
          <w:szCs w:val="24"/>
        </w:rPr>
        <w:t>FraX-C-PCR</w:t>
      </w:r>
      <w:proofErr w:type="spellEnd"/>
      <w:r w:rsidRPr="00457062">
        <w:rPr>
          <w:sz w:val="24"/>
          <w:szCs w:val="24"/>
        </w:rPr>
        <w:t xml:space="preserve"> ilościow</w:t>
      </w:r>
      <w:r>
        <w:rPr>
          <w:sz w:val="24"/>
          <w:szCs w:val="24"/>
        </w:rPr>
        <w:t>e</w:t>
      </w:r>
      <w:r>
        <w:rPr>
          <w:b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 xml:space="preserve">opiera się na przeprowadzeniu reakcji PCR, której powstały produkt poddaje się rozdziałowi fragmentów w </w:t>
      </w:r>
      <w:proofErr w:type="spellStart"/>
      <w:r>
        <w:rPr>
          <w:rFonts w:cs="Arial"/>
          <w:sz w:val="24"/>
          <w:szCs w:val="24"/>
        </w:rPr>
        <w:t>sekwenatorze</w:t>
      </w:r>
      <w:proofErr w:type="spellEnd"/>
      <w:r>
        <w:rPr>
          <w:rFonts w:cs="Arial"/>
          <w:sz w:val="24"/>
          <w:szCs w:val="24"/>
        </w:rPr>
        <w:t xml:space="preserve"> kapilarnym (analiza </w:t>
      </w:r>
      <w:proofErr w:type="spellStart"/>
      <w:r>
        <w:rPr>
          <w:rFonts w:cs="Arial"/>
          <w:sz w:val="24"/>
          <w:szCs w:val="24"/>
        </w:rPr>
        <w:t>GeneScan</w:t>
      </w:r>
      <w:proofErr w:type="spellEnd"/>
      <w:r>
        <w:rPr>
          <w:rFonts w:cs="Arial"/>
          <w:sz w:val="24"/>
          <w:szCs w:val="24"/>
        </w:rPr>
        <w:t>).</w:t>
      </w:r>
    </w:p>
    <w:p w:rsidR="000A77E4" w:rsidRPr="00762EDE" w:rsidRDefault="000A77E4" w:rsidP="000A77E4">
      <w:pPr>
        <w:jc w:val="both"/>
        <w:rPr>
          <w:rFonts w:cs="Arial"/>
          <w:sz w:val="24"/>
          <w:szCs w:val="24"/>
        </w:rPr>
      </w:pPr>
      <w:r w:rsidRPr="00762EDE">
        <w:rPr>
          <w:rFonts w:cs="Arial"/>
          <w:sz w:val="24"/>
          <w:szCs w:val="24"/>
        </w:rPr>
        <w:t>Do wykonania badania w Pracowni Cytogenetyki i Hodowli Tkanek niezbędne jest poprawne wypełnienie Karty Zlecenia Badania Cytogenetycznego oraz dołączenie Deklaracji Świadomej Zgody na Badanie Genetyczne. Wykonanie</w:t>
      </w:r>
      <w:r>
        <w:rPr>
          <w:rFonts w:cs="Arial"/>
          <w:sz w:val="24"/>
          <w:szCs w:val="24"/>
        </w:rPr>
        <w:t xml:space="preserve"> testu przesiewowego może trwać</w:t>
      </w:r>
      <w:r w:rsidRPr="00762EDE">
        <w:rPr>
          <w:rFonts w:cs="Arial"/>
          <w:sz w:val="24"/>
          <w:szCs w:val="24"/>
        </w:rPr>
        <w:t xml:space="preserve"> do 6 tygodni. </w:t>
      </w:r>
    </w:p>
    <w:p w:rsidR="000A77E4" w:rsidRPr="00C96491" w:rsidRDefault="000A77E4" w:rsidP="000A77E4">
      <w:pPr>
        <w:spacing w:line="240" w:lineRule="auto"/>
        <w:rPr>
          <w:rFonts w:cs="Arial"/>
          <w:sz w:val="24"/>
          <w:szCs w:val="24"/>
        </w:rPr>
      </w:pPr>
      <w:r w:rsidRPr="00515C29">
        <w:rPr>
          <w:rFonts w:cs="Arial"/>
          <w:b/>
          <w:sz w:val="24"/>
          <w:szCs w:val="24"/>
        </w:rPr>
        <w:t xml:space="preserve">Dodatkowe informacje pod numerem: </w:t>
      </w:r>
      <w:r w:rsidRPr="00C96491">
        <w:rPr>
          <w:rFonts w:cs="Arial"/>
          <w:sz w:val="24"/>
          <w:szCs w:val="24"/>
        </w:rPr>
        <w:t>22 815 74 56</w:t>
      </w:r>
    </w:p>
    <w:p w:rsidR="000A77E4" w:rsidRPr="00741885" w:rsidRDefault="000A77E4" w:rsidP="000A77E4">
      <w:pPr>
        <w:rPr>
          <w:rFonts w:cs="Arial"/>
          <w:b/>
          <w:sz w:val="24"/>
        </w:rPr>
      </w:pPr>
      <w:r w:rsidRPr="00741885">
        <w:rPr>
          <w:rFonts w:cs="Arial"/>
          <w:b/>
          <w:sz w:val="24"/>
        </w:rPr>
        <w:t xml:space="preserve">Materiał: </w:t>
      </w:r>
    </w:p>
    <w:p w:rsidR="000A77E4" w:rsidRPr="00741885" w:rsidRDefault="000A77E4" w:rsidP="000A77E4">
      <w:pPr>
        <w:pStyle w:val="Akapitzlist"/>
        <w:numPr>
          <w:ilvl w:val="0"/>
          <w:numId w:val="2"/>
        </w:numPr>
        <w:rPr>
          <w:rFonts w:cs="Arial"/>
          <w:sz w:val="24"/>
        </w:rPr>
      </w:pPr>
      <w:r w:rsidRPr="00741885">
        <w:rPr>
          <w:rFonts w:cs="Arial"/>
          <w:sz w:val="24"/>
        </w:rPr>
        <w:t>krew obwodowa pobrana na EDTA + zlecenie na izolację DNA do Pracowni Genetyki Molekularnej</w:t>
      </w:r>
    </w:p>
    <w:p w:rsidR="000A77E4" w:rsidRPr="00741885" w:rsidRDefault="000A77E4" w:rsidP="000A77E4">
      <w:pPr>
        <w:pStyle w:val="Akapitzlist"/>
        <w:numPr>
          <w:ilvl w:val="0"/>
          <w:numId w:val="2"/>
        </w:numPr>
        <w:rPr>
          <w:rFonts w:cs="Arial"/>
          <w:sz w:val="24"/>
        </w:rPr>
      </w:pPr>
      <w:r w:rsidRPr="00741885">
        <w:rPr>
          <w:rFonts w:cs="Arial"/>
          <w:sz w:val="24"/>
        </w:rPr>
        <w:t>wyizolowane DNA</w:t>
      </w:r>
    </w:p>
    <w:p w:rsidR="000A77E4" w:rsidRDefault="000A77E4" w:rsidP="000A77E4">
      <w:pPr>
        <w:rPr>
          <w:rFonts w:cs="Arial"/>
          <w:sz w:val="24"/>
          <w:szCs w:val="24"/>
        </w:rPr>
      </w:pPr>
      <w:bookmarkStart w:id="0" w:name="_GoBack"/>
      <w:bookmarkEnd w:id="0"/>
      <w:r w:rsidRPr="00762EDE">
        <w:rPr>
          <w:rFonts w:cs="Arial"/>
          <w:sz w:val="24"/>
          <w:szCs w:val="24"/>
        </w:rPr>
        <w:br/>
      </w:r>
      <w:r w:rsidRPr="00515C29">
        <w:rPr>
          <w:rFonts w:cs="Arial"/>
          <w:b/>
          <w:sz w:val="24"/>
          <w:szCs w:val="24"/>
        </w:rPr>
        <w:t>Czas oczekiwania:</w:t>
      </w:r>
      <w:r w:rsidRPr="00762EDE">
        <w:rPr>
          <w:rFonts w:cs="Arial"/>
          <w:sz w:val="24"/>
          <w:szCs w:val="24"/>
        </w:rPr>
        <w:t xml:space="preserve"> do 6 tyg.</w:t>
      </w:r>
    </w:p>
    <w:p w:rsidR="009E402B" w:rsidRDefault="009E402B" w:rsidP="000A77E4">
      <w:pPr>
        <w:rPr>
          <w:rFonts w:cs="Arial"/>
          <w:sz w:val="24"/>
          <w:szCs w:val="24"/>
        </w:rPr>
      </w:pPr>
    </w:p>
    <w:p w:rsidR="009E402B" w:rsidRDefault="009E402B" w:rsidP="000A77E4">
      <w:pPr>
        <w:rPr>
          <w:rFonts w:cs="Arial"/>
          <w:sz w:val="24"/>
          <w:szCs w:val="24"/>
        </w:rPr>
      </w:pPr>
    </w:p>
    <w:p w:rsidR="000A77E4" w:rsidRDefault="000A77E4" w:rsidP="000A77E4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Badanie </w:t>
      </w:r>
      <w:proofErr w:type="spellStart"/>
      <w:r w:rsidRPr="00744F62">
        <w:rPr>
          <w:b/>
          <w:sz w:val="24"/>
          <w:szCs w:val="24"/>
        </w:rPr>
        <w:t>FraX-MS-MLPA</w:t>
      </w:r>
      <w:proofErr w:type="spellEnd"/>
    </w:p>
    <w:p w:rsidR="000A77E4" w:rsidRPr="009E402B" w:rsidRDefault="000A77E4" w:rsidP="000A77E4">
      <w:pPr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Badanie </w:t>
      </w:r>
      <w:proofErr w:type="spellStart"/>
      <w:r>
        <w:rPr>
          <w:sz w:val="24"/>
          <w:szCs w:val="24"/>
        </w:rPr>
        <w:t>FraX-MS</w:t>
      </w:r>
      <w:r w:rsidRPr="00457062">
        <w:rPr>
          <w:sz w:val="24"/>
          <w:szCs w:val="24"/>
        </w:rPr>
        <w:t>-</w:t>
      </w:r>
      <w:r>
        <w:rPr>
          <w:sz w:val="24"/>
          <w:szCs w:val="24"/>
        </w:rPr>
        <w:t>MLPA</w:t>
      </w:r>
      <w:proofErr w:type="spellEnd"/>
      <w:r w:rsidRPr="0045706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jest to </w:t>
      </w:r>
      <w:proofErr w:type="spellStart"/>
      <w:r>
        <w:rPr>
          <w:sz w:val="24"/>
          <w:szCs w:val="24"/>
        </w:rPr>
        <w:t>metylo-specyficzna</w:t>
      </w:r>
      <w:proofErr w:type="spellEnd"/>
      <w:r>
        <w:rPr>
          <w:sz w:val="24"/>
          <w:szCs w:val="24"/>
        </w:rPr>
        <w:t xml:space="preserve"> multipleksowa amplifikacja sond zależna od </w:t>
      </w:r>
      <w:proofErr w:type="spellStart"/>
      <w:r>
        <w:rPr>
          <w:sz w:val="24"/>
          <w:szCs w:val="24"/>
        </w:rPr>
        <w:t>ligacji</w:t>
      </w:r>
      <w:proofErr w:type="spellEnd"/>
      <w:r>
        <w:rPr>
          <w:sz w:val="24"/>
          <w:szCs w:val="24"/>
        </w:rPr>
        <w:t xml:space="preserve">. Umożliwia określenie liczby kopii genu jak również statusu </w:t>
      </w:r>
      <w:proofErr w:type="spellStart"/>
      <w:r>
        <w:rPr>
          <w:sz w:val="24"/>
          <w:szCs w:val="24"/>
        </w:rPr>
        <w:t>metylacji</w:t>
      </w:r>
      <w:proofErr w:type="spellEnd"/>
      <w:r>
        <w:rPr>
          <w:sz w:val="24"/>
          <w:szCs w:val="24"/>
        </w:rPr>
        <w:t xml:space="preserve">. Pozwala </w:t>
      </w:r>
      <w:r w:rsidRPr="009E402B">
        <w:rPr>
          <w:sz w:val="24"/>
          <w:szCs w:val="24"/>
        </w:rPr>
        <w:t xml:space="preserve">zidentyfikować </w:t>
      </w:r>
      <w:proofErr w:type="spellStart"/>
      <w:r w:rsidRPr="009E402B">
        <w:rPr>
          <w:sz w:val="24"/>
          <w:szCs w:val="24"/>
        </w:rPr>
        <w:t>delecje</w:t>
      </w:r>
      <w:proofErr w:type="spellEnd"/>
      <w:r w:rsidRPr="009E402B">
        <w:rPr>
          <w:sz w:val="24"/>
          <w:szCs w:val="24"/>
        </w:rPr>
        <w:t xml:space="preserve">/duplikacje w obrębie genu </w:t>
      </w:r>
      <w:r w:rsidRPr="009E402B">
        <w:rPr>
          <w:i/>
          <w:sz w:val="24"/>
          <w:szCs w:val="24"/>
        </w:rPr>
        <w:t>FMR1</w:t>
      </w:r>
      <w:r w:rsidRPr="009E402B">
        <w:rPr>
          <w:sz w:val="24"/>
          <w:szCs w:val="24"/>
        </w:rPr>
        <w:t xml:space="preserve">. Ze względu na obecność inaktywowanego chromosomu X u kobiet, analiza </w:t>
      </w:r>
      <w:proofErr w:type="spellStart"/>
      <w:r w:rsidRPr="009E402B">
        <w:rPr>
          <w:sz w:val="24"/>
          <w:szCs w:val="24"/>
        </w:rPr>
        <w:t>metylacji</w:t>
      </w:r>
      <w:proofErr w:type="spellEnd"/>
      <w:r w:rsidRPr="009E402B">
        <w:rPr>
          <w:sz w:val="24"/>
          <w:szCs w:val="24"/>
        </w:rPr>
        <w:t xml:space="preserve"> jest u nich niemożliwa.</w:t>
      </w:r>
    </w:p>
    <w:p w:rsidR="000A77E4" w:rsidRPr="009E402B" w:rsidRDefault="000A77E4" w:rsidP="000A77E4">
      <w:pPr>
        <w:jc w:val="both"/>
        <w:rPr>
          <w:rFonts w:cs="Arial"/>
          <w:sz w:val="24"/>
          <w:szCs w:val="24"/>
        </w:rPr>
      </w:pPr>
      <w:r w:rsidRPr="009E402B">
        <w:rPr>
          <w:rFonts w:cs="Arial"/>
          <w:sz w:val="24"/>
          <w:szCs w:val="24"/>
        </w:rPr>
        <w:t xml:space="preserve">Do wykonania badania w Pracowni Cytogenetyki i Hodowli Tkanek niezbędne jest poprawne wypełnienie Karty Zlecenia Badania Cytogenetycznego oraz dołączenie Deklaracji Świadomej Zgody Pacjenta na Badanie Genetyczne. Wykonanie testu przesiewowego może trwać  do 6 tygodni. </w:t>
      </w:r>
    </w:p>
    <w:p w:rsidR="000A77E4" w:rsidRPr="009E402B" w:rsidRDefault="000A77E4" w:rsidP="000A77E4">
      <w:pPr>
        <w:spacing w:line="240" w:lineRule="auto"/>
        <w:rPr>
          <w:rFonts w:cs="Arial"/>
          <w:sz w:val="24"/>
          <w:szCs w:val="24"/>
        </w:rPr>
      </w:pPr>
      <w:r w:rsidRPr="009E402B">
        <w:rPr>
          <w:rFonts w:cs="Arial"/>
          <w:b/>
          <w:sz w:val="24"/>
          <w:szCs w:val="24"/>
        </w:rPr>
        <w:t>Dodatkowe informacje pod numerem:</w:t>
      </w:r>
      <w:r w:rsidRPr="009E402B">
        <w:rPr>
          <w:rFonts w:cs="Arial"/>
          <w:sz w:val="24"/>
          <w:szCs w:val="24"/>
        </w:rPr>
        <w:t xml:space="preserve"> 22 815 74 56</w:t>
      </w:r>
    </w:p>
    <w:p w:rsidR="000A77E4" w:rsidRPr="009E402B" w:rsidRDefault="000A77E4" w:rsidP="000A77E4">
      <w:pPr>
        <w:rPr>
          <w:rFonts w:cs="Arial"/>
          <w:b/>
          <w:sz w:val="24"/>
          <w:szCs w:val="24"/>
        </w:rPr>
      </w:pPr>
      <w:r w:rsidRPr="009E402B">
        <w:rPr>
          <w:rFonts w:cs="Arial"/>
          <w:b/>
          <w:sz w:val="24"/>
          <w:szCs w:val="24"/>
        </w:rPr>
        <w:t xml:space="preserve">Materiał: </w:t>
      </w:r>
    </w:p>
    <w:p w:rsidR="000A77E4" w:rsidRPr="009E402B" w:rsidRDefault="000A77E4" w:rsidP="000A77E4">
      <w:pPr>
        <w:pStyle w:val="Akapitzlist"/>
        <w:numPr>
          <w:ilvl w:val="0"/>
          <w:numId w:val="2"/>
        </w:numPr>
        <w:rPr>
          <w:rFonts w:cs="Arial"/>
          <w:sz w:val="24"/>
          <w:szCs w:val="24"/>
        </w:rPr>
      </w:pPr>
      <w:r w:rsidRPr="009E402B">
        <w:rPr>
          <w:rFonts w:cs="Arial"/>
          <w:sz w:val="24"/>
          <w:szCs w:val="24"/>
        </w:rPr>
        <w:t>krew obwodowa pobrana na EDTA + zlecenie na izolację DNA do Pracowni Genetyki Molekularnej</w:t>
      </w:r>
    </w:p>
    <w:p w:rsidR="000A77E4" w:rsidRPr="009E402B" w:rsidRDefault="000A77E4" w:rsidP="000A77E4">
      <w:pPr>
        <w:pStyle w:val="Akapitzlist"/>
        <w:numPr>
          <w:ilvl w:val="0"/>
          <w:numId w:val="2"/>
        </w:numPr>
        <w:rPr>
          <w:rFonts w:cs="Arial"/>
          <w:sz w:val="24"/>
          <w:szCs w:val="24"/>
        </w:rPr>
      </w:pPr>
      <w:r w:rsidRPr="009E402B">
        <w:rPr>
          <w:rFonts w:cs="Arial"/>
          <w:sz w:val="24"/>
          <w:szCs w:val="24"/>
        </w:rPr>
        <w:t>wyizolowane DNA</w:t>
      </w:r>
    </w:p>
    <w:p w:rsidR="000A77E4" w:rsidRPr="009E402B" w:rsidRDefault="000A77E4" w:rsidP="000A77E4">
      <w:pPr>
        <w:rPr>
          <w:b/>
          <w:sz w:val="24"/>
          <w:szCs w:val="24"/>
        </w:rPr>
      </w:pPr>
      <w:r w:rsidRPr="009E402B">
        <w:rPr>
          <w:rFonts w:cs="Arial"/>
          <w:sz w:val="24"/>
          <w:szCs w:val="24"/>
        </w:rPr>
        <w:br/>
      </w:r>
      <w:r w:rsidRPr="009E402B">
        <w:rPr>
          <w:rFonts w:cs="Arial"/>
          <w:b/>
          <w:sz w:val="24"/>
          <w:szCs w:val="24"/>
        </w:rPr>
        <w:t>Czas oczekiwania</w:t>
      </w:r>
      <w:r w:rsidRPr="009E402B">
        <w:rPr>
          <w:rFonts w:cs="Arial"/>
          <w:sz w:val="24"/>
          <w:szCs w:val="24"/>
        </w:rPr>
        <w:t>: do 6 tyg.</w:t>
      </w:r>
    </w:p>
    <w:sectPr w:rsidR="000A77E4" w:rsidRPr="009E402B" w:rsidSect="000778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E34DE3"/>
    <w:multiLevelType w:val="hybridMultilevel"/>
    <w:tmpl w:val="95A096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9604B5E"/>
    <w:multiLevelType w:val="hybridMultilevel"/>
    <w:tmpl w:val="F06E4F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08"/>
  <w:hyphenationZone w:val="425"/>
  <w:characterSpacingControl w:val="doNotCompress"/>
  <w:compat/>
  <w:rsids>
    <w:rsidRoot w:val="000A77E4"/>
    <w:rsid w:val="000778B9"/>
    <w:rsid w:val="000A77E4"/>
    <w:rsid w:val="009E40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778B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A77E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464</Words>
  <Characters>2789</Characters>
  <Application>Microsoft Office Word</Application>
  <DocSecurity>0</DocSecurity>
  <Lines>23</Lines>
  <Paragraphs>6</Paragraphs>
  <ScaleCrop>false</ScaleCrop>
  <Company/>
  <LinksUpToDate>false</LinksUpToDate>
  <CharactersWithSpaces>3247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Urszula Zawadzka</dc:creator>
  <cp:lastModifiedBy>Urszula Zawadzka</cp:lastModifiedBy>
  <cp:revision>2</cp:revision>
  <dcterms:created xsi:type="dcterms:W3CDTF">2022-08-09T13:25:00Z</dcterms:created>
  <dcterms:modified xsi:type="dcterms:W3CDTF">2022-08-09T13:29:00Z</dcterms:modified>
</cp:coreProperties>
</file>